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D8" w:rsidRDefault="00BD1093">
      <w:pPr>
        <w:rPr>
          <w:rFonts w:asciiTheme="minorHAnsi" w:hAnsiTheme="minorHAnsi"/>
          <w:noProof/>
        </w:rPr>
      </w:pPr>
      <w:bookmarkStart w:id="0" w:name="_GoBack"/>
      <w:bookmarkEnd w:id="0"/>
      <w:r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-269875</wp:posOffset>
            </wp:positionV>
            <wp:extent cx="1571625" cy="1022985"/>
            <wp:effectExtent l="0" t="0" r="9525" b="5715"/>
            <wp:wrapTight wrapText="bothSides">
              <wp:wrapPolygon edited="0">
                <wp:start x="0" y="0"/>
                <wp:lineTo x="0" y="21318"/>
                <wp:lineTo x="21469" y="21318"/>
                <wp:lineTo x="21469" y="0"/>
                <wp:lineTo x="0" y="0"/>
              </wp:wrapPolygon>
            </wp:wrapTight>
            <wp:docPr id="1" name="Picture 1" descr="\\windleden\USR33\MGT\Mgp13li\ManW7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ndleden\USR33\MGT\Mgp13li\ManW7\Desktop\inde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113030</wp:posOffset>
            </wp:positionV>
            <wp:extent cx="3172460" cy="431800"/>
            <wp:effectExtent l="0" t="0" r="8890" b="6350"/>
            <wp:wrapTight wrapText="bothSides">
              <wp:wrapPolygon edited="0">
                <wp:start x="0" y="0"/>
                <wp:lineTo x="0" y="20965"/>
                <wp:lineTo x="21531" y="20965"/>
                <wp:lineTo x="21531" y="0"/>
                <wp:lineTo x="0" y="0"/>
              </wp:wrapPolygon>
            </wp:wrapTight>
            <wp:docPr id="2" name="Picture 2" descr="\\windleden\USR33\MGT\Mgp13li\ManW7\Desktop\WorkLab 2015\worklab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indleden\USR33\MGT\Mgp13li\ManW7\Desktop\WorkLab 2015\worklab 20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ED8" w:rsidRDefault="00747ED8">
      <w:pPr>
        <w:spacing w:after="120" w:line="240" w:lineRule="auto"/>
        <w:rPr>
          <w:rFonts w:asciiTheme="minorHAnsi" w:hAnsiTheme="minorHAnsi"/>
          <w:noProof/>
        </w:rPr>
      </w:pPr>
    </w:p>
    <w:p w:rsidR="00747ED8" w:rsidRDefault="00BD1093">
      <w:pPr>
        <w:spacing w:after="120" w:line="240" w:lineRule="auto"/>
        <w:rPr>
          <w:rFonts w:asciiTheme="minorHAnsi" w:hAnsiTheme="minorHAnsi"/>
          <w:sz w:val="22"/>
          <w:szCs w:val="21"/>
        </w:rPr>
      </w:pPr>
      <w:r>
        <w:rPr>
          <w:rFonts w:asciiTheme="minorHAnsi" w:hAnsiTheme="minorHAnsi"/>
          <w:sz w:val="22"/>
          <w:szCs w:val="21"/>
        </w:rPr>
        <w:t>12-14 November 2015, Nuremberg</w:t>
      </w:r>
    </w:p>
    <w:p w:rsidR="00747ED8" w:rsidRDefault="00BD1093">
      <w:pPr>
        <w:spacing w:after="120" w:line="240" w:lineRule="auto"/>
        <w:jc w:val="center"/>
        <w:rPr>
          <w:rFonts w:asciiTheme="minorHAnsi" w:hAnsiTheme="minorHAnsi"/>
          <w:b/>
          <w:bCs/>
          <w:sz w:val="22"/>
          <w:szCs w:val="21"/>
        </w:rPr>
      </w:pPr>
      <w:r>
        <w:rPr>
          <w:rFonts w:asciiTheme="minorHAnsi" w:hAnsiTheme="minorHAnsi"/>
          <w:b/>
          <w:bCs/>
          <w:sz w:val="22"/>
          <w:szCs w:val="21"/>
        </w:rPr>
        <w:t>Effectively employing mindfulness interventions at work.</w:t>
      </w:r>
    </w:p>
    <w:p w:rsidR="00747ED8" w:rsidRDefault="00BD1093">
      <w:pPr>
        <w:spacing w:after="120" w:line="240" w:lineRule="auto"/>
        <w:jc w:val="center"/>
        <w:rPr>
          <w:rFonts w:asciiTheme="minorHAnsi" w:hAnsiTheme="minorHAnsi"/>
          <w:b/>
          <w:bCs/>
          <w:sz w:val="22"/>
          <w:szCs w:val="21"/>
        </w:rPr>
      </w:pPr>
      <w:r>
        <w:rPr>
          <w:rFonts w:asciiTheme="minorHAnsi" w:hAnsiTheme="minorHAnsi"/>
          <w:b/>
          <w:bCs/>
          <w:sz w:val="22"/>
          <w:szCs w:val="21"/>
        </w:rPr>
        <w:t>PROPOSED TIMETABLE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283"/>
      </w:tblGrid>
      <w:tr w:rsidR="00747ED8">
        <w:trPr>
          <w:trHeight w:val="397"/>
        </w:trPr>
        <w:tc>
          <w:tcPr>
            <w:tcW w:w="9180" w:type="dxa"/>
            <w:gridSpan w:val="2"/>
          </w:tcPr>
          <w:p w:rsidR="00747ED8" w:rsidRDefault="00BD1093">
            <w:pPr>
              <w:spacing w:line="240" w:lineRule="auto"/>
              <w:rPr>
                <w:rFonts w:asciiTheme="minorHAnsi" w:hAnsiTheme="minorHAnsi"/>
                <w:sz w:val="22"/>
                <w:szCs w:val="21"/>
              </w:rPr>
            </w:pPr>
            <w:r>
              <w:rPr>
                <w:rFonts w:asciiTheme="minorHAnsi" w:hAnsiTheme="minorHAnsi"/>
                <w:b/>
                <w:bCs/>
              </w:rPr>
              <w:t>Thursday 12 November</w:t>
            </w: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1600-1700</w:t>
            </w:r>
            <w:r>
              <w:rPr>
                <w:rFonts w:asciiTheme="minorHAnsi" w:hAnsiTheme="minorHAnsi"/>
                <w:sz w:val="21"/>
                <w:szCs w:val="20"/>
              </w:rPr>
              <w:tab/>
              <w:t>Arrival and refreshments</w:t>
            </w: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line="240" w:lineRule="auto"/>
              <w:ind w:left="1418" w:hanging="1418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1700-1715</w:t>
            </w:r>
            <w:r>
              <w:rPr>
                <w:rFonts w:asciiTheme="minorHAnsi" w:hAnsiTheme="minorHAnsi"/>
                <w:sz w:val="21"/>
                <w:szCs w:val="20"/>
              </w:rPr>
              <w:tab/>
            </w:r>
            <w:r>
              <w:rPr>
                <w:rFonts w:asciiTheme="minorHAnsi" w:hAnsiTheme="minorHAnsi"/>
                <w:sz w:val="21"/>
                <w:szCs w:val="20"/>
              </w:rPr>
              <w:t xml:space="preserve">Opening presentation from EAWOP  Executive Committee and description of the programme – </w:t>
            </w:r>
            <w:r>
              <w:rPr>
                <w:rFonts w:asciiTheme="minorHAnsi" w:hAnsiTheme="minorHAnsi"/>
                <w:i/>
                <w:iCs/>
                <w:sz w:val="21"/>
                <w:szCs w:val="20"/>
              </w:rPr>
              <w:t>Helen Baron and Dr Angela Carter</w:t>
            </w: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747ED8">
        <w:trPr>
          <w:trHeight w:val="884"/>
        </w:trPr>
        <w:tc>
          <w:tcPr>
            <w:tcW w:w="8897" w:type="dxa"/>
          </w:tcPr>
          <w:p w:rsidR="00747ED8" w:rsidRDefault="00BD1093">
            <w:pPr>
              <w:spacing w:before="120" w:line="240" w:lineRule="auto"/>
              <w:ind w:left="1418" w:hanging="1418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1715-1900</w:t>
            </w:r>
            <w:r>
              <w:rPr>
                <w:rFonts w:asciiTheme="minorHAnsi" w:hAnsiTheme="minorHAnsi"/>
                <w:sz w:val="21"/>
                <w:szCs w:val="20"/>
              </w:rPr>
              <w:tab/>
            </w:r>
            <w:r>
              <w:rPr>
                <w:rFonts w:asciiTheme="minorHAnsi" w:hAnsiTheme="minorHAnsi"/>
                <w:b/>
                <w:bCs/>
                <w:sz w:val="21"/>
                <w:szCs w:val="20"/>
              </w:rPr>
              <w:t xml:space="preserve">Brief introduction to mindfulness, Dr Ute </w:t>
            </w:r>
            <w:proofErr w:type="spellStart"/>
            <w:r>
              <w:rPr>
                <w:rFonts w:asciiTheme="minorHAnsi" w:hAnsiTheme="minorHAnsi"/>
                <w:b/>
                <w:bCs/>
                <w:sz w:val="21"/>
                <w:szCs w:val="20"/>
              </w:rPr>
              <w:t>Hülsheger</w:t>
            </w:r>
            <w:proofErr w:type="spellEnd"/>
            <w:r>
              <w:rPr>
                <w:rFonts w:asciiTheme="minorHAnsi" w:hAnsiTheme="minorHAnsi"/>
                <w:b/>
                <w:bCs/>
                <w:sz w:val="21"/>
                <w:szCs w:val="20"/>
              </w:rPr>
              <w:t>,</w:t>
            </w:r>
            <w:r>
              <w:t xml:space="preserve"> </w:t>
            </w:r>
            <w:r>
              <w:rPr>
                <w:rFonts w:asciiTheme="minorHAnsi" w:hAnsiTheme="minorHAnsi"/>
                <w:b/>
                <w:bCs/>
                <w:sz w:val="21"/>
                <w:szCs w:val="20"/>
              </w:rPr>
              <w:t xml:space="preserve">Maastricht University  &amp; Marina Grazier, The Mindfulness Exchange </w:t>
            </w:r>
            <w:r>
              <w:rPr>
                <w:rFonts w:asciiTheme="minorHAnsi" w:hAnsiTheme="minorHAnsi"/>
                <w:sz w:val="21"/>
                <w:szCs w:val="20"/>
              </w:rPr>
              <w:t>–</w:t>
            </w:r>
            <w:r>
              <w:rPr>
                <w:rFonts w:asciiTheme="minorHAnsi" w:hAnsiTheme="minorHAnsi"/>
                <w:b/>
                <w:bCs/>
                <w:sz w:val="21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0"/>
              </w:rPr>
              <w:t>fo</w:t>
            </w:r>
            <w:r>
              <w:rPr>
                <w:rFonts w:asciiTheme="minorHAnsi" w:hAnsiTheme="minorHAnsi"/>
                <w:sz w:val="21"/>
                <w:szCs w:val="20"/>
              </w:rPr>
              <w:t>llowed by group meditation activity and discussion of applying mindfulness in our work</w:t>
            </w:r>
          </w:p>
        </w:tc>
        <w:tc>
          <w:tcPr>
            <w:tcW w:w="283" w:type="dxa"/>
          </w:tcPr>
          <w:p w:rsidR="00747ED8" w:rsidRDefault="00747ED8">
            <w:pPr>
              <w:spacing w:before="240" w:line="240" w:lineRule="auto"/>
              <w:rPr>
                <w:rFonts w:asciiTheme="minorHAnsi" w:hAnsiTheme="minorHAnsi"/>
                <w:color w:val="FF0000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before="120" w:after="120" w:line="240" w:lineRule="auto"/>
              <w:ind w:left="1418" w:hanging="1418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1900-2000</w:t>
            </w:r>
            <w:r>
              <w:rPr>
                <w:rFonts w:asciiTheme="minorHAnsi" w:hAnsiTheme="minorHAnsi"/>
                <w:sz w:val="21"/>
                <w:szCs w:val="20"/>
              </w:rPr>
              <w:tab/>
              <w:t>Free time and pre-dinner drinks</w:t>
            </w:r>
          </w:p>
        </w:tc>
        <w:tc>
          <w:tcPr>
            <w:tcW w:w="283" w:type="dxa"/>
          </w:tcPr>
          <w:p w:rsidR="00747ED8" w:rsidRDefault="00747ED8">
            <w:pPr>
              <w:spacing w:before="240" w:line="240" w:lineRule="auto"/>
              <w:rPr>
                <w:rFonts w:asciiTheme="minorHAnsi" w:hAnsiTheme="minorHAnsi"/>
                <w:color w:val="FF0000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 xml:space="preserve">2000 - </w:t>
            </w:r>
            <w:r>
              <w:rPr>
                <w:rFonts w:asciiTheme="minorHAnsi" w:hAnsiTheme="minorHAnsi"/>
                <w:sz w:val="21"/>
                <w:szCs w:val="20"/>
              </w:rPr>
              <w:tab/>
              <w:t xml:space="preserve">               Dinner in the hotel</w:t>
            </w:r>
          </w:p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Friday 13 November</w:t>
            </w: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9180" w:type="dxa"/>
            <w:gridSpan w:val="2"/>
          </w:tcPr>
          <w:p w:rsidR="00747ED8" w:rsidRDefault="00BD1093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0900-1100</w:t>
            </w:r>
            <w:r>
              <w:rPr>
                <w:rFonts w:asciiTheme="minorHAnsi" w:hAnsiTheme="minorHAnsi"/>
                <w:sz w:val="21"/>
                <w:szCs w:val="20"/>
              </w:rPr>
              <w:tab/>
            </w:r>
            <w:r>
              <w:rPr>
                <w:rFonts w:asciiTheme="minorHAnsi" w:hAnsiTheme="minorHAnsi"/>
                <w:b/>
                <w:bCs/>
                <w:sz w:val="21"/>
                <w:szCs w:val="20"/>
              </w:rPr>
              <w:t xml:space="preserve">Dr Ute </w:t>
            </w:r>
            <w:proofErr w:type="spellStart"/>
            <w:r>
              <w:rPr>
                <w:rFonts w:asciiTheme="minorHAnsi" w:hAnsiTheme="minorHAnsi"/>
                <w:b/>
                <w:bCs/>
                <w:sz w:val="21"/>
                <w:szCs w:val="20"/>
              </w:rPr>
              <w:t>Hülsheger</w:t>
            </w:r>
            <w:proofErr w:type="spellEnd"/>
            <w:r>
              <w:rPr>
                <w:rFonts w:asciiTheme="minorHAnsi" w:hAnsiTheme="minorHAnsi"/>
                <w:b/>
                <w:bCs/>
                <w:sz w:val="21"/>
                <w:szCs w:val="20"/>
              </w:rPr>
              <w:t xml:space="preserve">, Mindfulness and the </w:t>
            </w:r>
            <w:r>
              <w:rPr>
                <w:rFonts w:asciiTheme="minorHAnsi" w:hAnsiTheme="minorHAnsi"/>
                <w:b/>
                <w:bCs/>
                <w:sz w:val="21"/>
                <w:szCs w:val="20"/>
              </w:rPr>
              <w:t>individual</w:t>
            </w:r>
            <w:r>
              <w:rPr>
                <w:rFonts w:asciiTheme="minorHAnsi" w:hAnsiTheme="minorHAnsi"/>
                <w:sz w:val="21"/>
                <w:szCs w:val="20"/>
              </w:rPr>
              <w:t xml:space="preserve"> – with facilitated discussion</w:t>
            </w: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line="240" w:lineRule="auto"/>
              <w:ind w:left="1418" w:hanging="1418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1100-1130          Break</w:t>
            </w: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color w:val="FF0000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1130-1300</w:t>
            </w:r>
            <w:r>
              <w:rPr>
                <w:rFonts w:asciiTheme="minorHAnsi" w:hAnsiTheme="minorHAnsi"/>
                <w:sz w:val="21"/>
                <w:szCs w:val="20"/>
              </w:rPr>
              <w:tab/>
            </w:r>
            <w:r>
              <w:rPr>
                <w:rFonts w:asciiTheme="minorHAnsi" w:hAnsiTheme="minorHAnsi"/>
                <w:b/>
                <w:bCs/>
                <w:sz w:val="21"/>
                <w:szCs w:val="20"/>
              </w:rPr>
              <w:t xml:space="preserve">Dr Ute </w:t>
            </w:r>
            <w:proofErr w:type="spellStart"/>
            <w:r>
              <w:rPr>
                <w:rFonts w:asciiTheme="minorHAnsi" w:hAnsiTheme="minorHAnsi"/>
                <w:b/>
                <w:bCs/>
                <w:sz w:val="21"/>
                <w:szCs w:val="20"/>
              </w:rPr>
              <w:t>Hülsheger</w:t>
            </w:r>
            <w:proofErr w:type="spellEnd"/>
            <w:r>
              <w:rPr>
                <w:rFonts w:asciiTheme="minorHAnsi" w:hAnsiTheme="minorHAnsi"/>
                <w:b/>
                <w:bCs/>
                <w:sz w:val="21"/>
                <w:szCs w:val="20"/>
              </w:rPr>
              <w:t xml:space="preserve">, Mindfulness and work performance </w:t>
            </w:r>
            <w:r>
              <w:rPr>
                <w:rFonts w:asciiTheme="minorHAnsi" w:hAnsiTheme="minorHAnsi"/>
                <w:sz w:val="21"/>
                <w:szCs w:val="20"/>
              </w:rPr>
              <w:t>– with facilitated discussion</w:t>
            </w: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line="240" w:lineRule="auto"/>
              <w:ind w:left="1418" w:hanging="1418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1300-1400</w:t>
            </w:r>
            <w:r>
              <w:rPr>
                <w:rFonts w:asciiTheme="minorHAnsi" w:hAnsiTheme="minorHAnsi"/>
                <w:sz w:val="21"/>
                <w:szCs w:val="20"/>
              </w:rPr>
              <w:tab/>
              <w:t>Lunch</w:t>
            </w: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1400-1600</w:t>
            </w:r>
            <w:r>
              <w:rPr>
                <w:rFonts w:asciiTheme="minorHAnsi" w:hAnsiTheme="minorHAnsi"/>
                <w:sz w:val="21"/>
                <w:szCs w:val="20"/>
              </w:rPr>
              <w:tab/>
            </w:r>
            <w:r>
              <w:rPr>
                <w:rFonts w:asciiTheme="minorHAnsi" w:hAnsiTheme="minorHAnsi"/>
                <w:b/>
                <w:bCs/>
                <w:sz w:val="21"/>
                <w:szCs w:val="20"/>
              </w:rPr>
              <w:t>Marina Grazier, Mindfulness and Organisations</w:t>
            </w:r>
            <w:r>
              <w:rPr>
                <w:rFonts w:asciiTheme="minorHAnsi" w:hAnsiTheme="minorHAnsi"/>
                <w:sz w:val="21"/>
                <w:szCs w:val="20"/>
              </w:rPr>
              <w:t xml:space="preserve">– with facilitated discussion and           </w:t>
            </w:r>
          </w:p>
          <w:p w:rsidR="00747ED8" w:rsidRDefault="00BD1093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 xml:space="preserve">                              optional short mindfulness breathing exercise</w:t>
            </w: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before="120" w:after="120" w:line="240" w:lineRule="auto"/>
              <w:ind w:left="1418" w:hanging="1418"/>
              <w:rPr>
                <w:rFonts w:asciiTheme="minorHAnsi" w:hAnsiTheme="minorHAnsi"/>
                <w:b/>
                <w:bCs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1600-1630          Break</w:t>
            </w: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color w:val="FF0000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 xml:space="preserve">1630-1700          </w:t>
            </w:r>
            <w:r>
              <w:rPr>
                <w:rFonts w:asciiTheme="minorHAnsi" w:hAnsiTheme="minorHAnsi"/>
                <w:b/>
                <w:bCs/>
                <w:sz w:val="21"/>
                <w:szCs w:val="20"/>
              </w:rPr>
              <w:t>Mindfulness practice session with Marina Grazier</w:t>
            </w: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line="240" w:lineRule="auto"/>
              <w:ind w:left="1418" w:hanging="1418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 xml:space="preserve">1700-1730          Discussion of </w:t>
            </w:r>
            <w:r>
              <w:rPr>
                <w:rFonts w:asciiTheme="minorHAnsi" w:hAnsiTheme="minorHAnsi"/>
                <w:sz w:val="21"/>
                <w:szCs w:val="20"/>
              </w:rPr>
              <w:t>mindfulness practice</w:t>
            </w: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color w:val="FF0000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1730-2000          Museum visit, sightseeing, or free time</w:t>
            </w: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2000-</w:t>
            </w:r>
            <w:r>
              <w:rPr>
                <w:rFonts w:asciiTheme="minorHAnsi" w:hAnsiTheme="minorHAnsi"/>
                <w:sz w:val="21"/>
                <w:szCs w:val="20"/>
              </w:rPr>
              <w:tab/>
              <w:t xml:space="preserve">              Dinner</w:t>
            </w:r>
          </w:p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Saturday 14 November</w:t>
            </w: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9180" w:type="dxa"/>
            <w:gridSpan w:val="2"/>
          </w:tcPr>
          <w:p w:rsidR="00747ED8" w:rsidRDefault="00BD1093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0930-1130</w:t>
            </w:r>
            <w:r>
              <w:rPr>
                <w:rFonts w:asciiTheme="minorHAnsi" w:hAnsiTheme="minorHAnsi"/>
                <w:sz w:val="21"/>
                <w:szCs w:val="20"/>
              </w:rPr>
              <w:tab/>
            </w:r>
            <w:r>
              <w:rPr>
                <w:rFonts w:asciiTheme="minorHAnsi" w:hAnsiTheme="minorHAnsi"/>
                <w:b/>
                <w:bCs/>
                <w:sz w:val="21"/>
                <w:szCs w:val="20"/>
              </w:rPr>
              <w:t>Marina Grazier, Benefits and pitfalls of using mindfulness in organisations</w:t>
            </w: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after="120" w:line="240" w:lineRule="auto"/>
              <w:ind w:left="1418" w:hanging="1418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1130-1200</w:t>
            </w:r>
            <w:r>
              <w:rPr>
                <w:rFonts w:asciiTheme="minorHAnsi" w:hAnsiTheme="minorHAnsi"/>
                <w:sz w:val="21"/>
                <w:szCs w:val="20"/>
              </w:rPr>
              <w:tab/>
              <w:t>Refreshments</w:t>
            </w: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1200-1300</w:t>
            </w:r>
            <w:r>
              <w:rPr>
                <w:rFonts w:asciiTheme="minorHAnsi" w:hAnsiTheme="minorHAnsi"/>
                <w:sz w:val="21"/>
                <w:szCs w:val="20"/>
              </w:rPr>
              <w:tab/>
              <w:t>Final facilitated discussion of our future use of mindfulness</w:t>
            </w: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line="240" w:lineRule="auto"/>
              <w:ind w:left="1418" w:hanging="1418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1300-1330</w:t>
            </w:r>
            <w:r>
              <w:rPr>
                <w:rFonts w:asciiTheme="minorHAnsi" w:hAnsiTheme="minorHAnsi"/>
                <w:sz w:val="21"/>
                <w:szCs w:val="20"/>
              </w:rPr>
              <w:tab/>
              <w:t>Evaluation of programme and next steps</w:t>
            </w: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BD1093">
            <w:pPr>
              <w:spacing w:line="240" w:lineRule="auto"/>
              <w:ind w:left="1418" w:hanging="1418"/>
              <w:rPr>
                <w:rFonts w:asciiTheme="minorHAnsi" w:hAnsiTheme="minorHAnsi"/>
                <w:sz w:val="21"/>
                <w:szCs w:val="20"/>
              </w:rPr>
            </w:pPr>
            <w:r>
              <w:rPr>
                <w:rFonts w:asciiTheme="minorHAnsi" w:hAnsiTheme="minorHAnsi"/>
                <w:sz w:val="21"/>
                <w:szCs w:val="20"/>
              </w:rPr>
              <w:t>1330-1430</w:t>
            </w:r>
            <w:r>
              <w:rPr>
                <w:rFonts w:asciiTheme="minorHAnsi" w:hAnsiTheme="minorHAnsi"/>
                <w:sz w:val="21"/>
                <w:szCs w:val="20"/>
              </w:rPr>
              <w:tab/>
              <w:t>Lunch and depart</w:t>
            </w: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747ED8">
        <w:trPr>
          <w:trHeight w:val="397"/>
        </w:trPr>
        <w:tc>
          <w:tcPr>
            <w:tcW w:w="8897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  <w:tc>
          <w:tcPr>
            <w:tcW w:w="283" w:type="dxa"/>
          </w:tcPr>
          <w:p w:rsidR="00747ED8" w:rsidRDefault="00747ED8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</w:tbl>
    <w:p w:rsidR="00747ED8" w:rsidRDefault="00747ED8">
      <w:pPr>
        <w:spacing w:line="240" w:lineRule="auto"/>
        <w:rPr>
          <w:rFonts w:asciiTheme="minorHAnsi" w:hAnsiTheme="minorHAnsi"/>
          <w:i/>
          <w:iCs/>
          <w:sz w:val="22"/>
          <w:szCs w:val="21"/>
        </w:rPr>
      </w:pPr>
    </w:p>
    <w:sectPr w:rsidR="00747ED8">
      <w:headerReference w:type="default" r:id="rId10"/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D8" w:rsidRDefault="00BD1093">
      <w:pPr>
        <w:spacing w:after="0" w:line="240" w:lineRule="auto"/>
      </w:pPr>
      <w:r>
        <w:separator/>
      </w:r>
    </w:p>
  </w:endnote>
  <w:endnote w:type="continuationSeparator" w:id="0">
    <w:p w:rsidR="00747ED8" w:rsidRDefault="00BD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D8" w:rsidRDefault="00BD1093">
      <w:pPr>
        <w:spacing w:after="0" w:line="240" w:lineRule="auto"/>
      </w:pPr>
      <w:r>
        <w:separator/>
      </w:r>
    </w:p>
  </w:footnote>
  <w:footnote w:type="continuationSeparator" w:id="0">
    <w:p w:rsidR="00747ED8" w:rsidRDefault="00BD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D8" w:rsidRDefault="00BD1093">
    <w:pPr>
      <w:pStyle w:val="Header"/>
      <w:jc w:val="right"/>
    </w:pPr>
    <w:r>
      <w:t xml:space="preserve">Version </w:t>
    </w:r>
    <w:proofErr w:type="gramStart"/>
    <w:r>
      <w:t>3  21.9.15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882"/>
    <w:multiLevelType w:val="multilevel"/>
    <w:tmpl w:val="9F30A56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93F6EBB"/>
    <w:multiLevelType w:val="multilevel"/>
    <w:tmpl w:val="F294CAA8"/>
    <w:lvl w:ilvl="0">
      <w:start w:val="1"/>
      <w:numFmt w:val="upperLetter"/>
      <w:lvlText w:val="Appendix %1"/>
      <w:lvlJc w:val="left"/>
      <w:pPr>
        <w:ind w:left="1004" w:hanging="380"/>
      </w:pPr>
      <w:rPr>
        <w:rFonts w:hint="default"/>
      </w:rPr>
    </w:lvl>
    <w:lvl w:ilvl="1">
      <w:start w:val="1"/>
      <w:numFmt w:val="lowerRoman"/>
      <w:suff w:val="space"/>
      <w:lvlText w:val="Appendix %1(%2)"/>
      <w:lvlJc w:val="left"/>
      <w:pPr>
        <w:ind w:left="851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D8"/>
    <w:rsid w:val="00747ED8"/>
    <w:rsid w:val="00B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spacing w:before="480" w:after="0"/>
      <w:jc w:val="center"/>
      <w:outlineLvl w:val="0"/>
    </w:pPr>
    <w:rPr>
      <w:rFonts w:asciiTheme="majorBidi" w:eastAsiaTheme="majorEastAsia" w:hAnsiTheme="majorBid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2"/>
      </w:numPr>
      <w:spacing w:before="480" w:after="0"/>
      <w:jc w:val="both"/>
      <w:outlineLvl w:val="1"/>
    </w:pPr>
    <w:rPr>
      <w:rFonts w:asciiTheme="majorBidi" w:eastAsiaTheme="majorEastAsia" w:hAnsiTheme="majorBid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2"/>
      </w:numPr>
      <w:spacing w:before="60" w:after="0"/>
      <w:outlineLvl w:val="2"/>
    </w:pPr>
    <w:rPr>
      <w:rFonts w:asciiTheme="majorBidi" w:eastAsiaTheme="majorEastAsia" w:hAnsiTheme="majorBid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20" w:after="0"/>
      <w:jc w:val="both"/>
      <w:outlineLvl w:val="3"/>
    </w:pPr>
    <w:rPr>
      <w:rFonts w:asciiTheme="majorBidi" w:eastAsiaTheme="majorEastAsia" w:hAnsiTheme="majorBid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after="0"/>
      <w:jc w:val="both"/>
      <w:outlineLvl w:val="4"/>
    </w:pPr>
    <w:rPr>
      <w:rFonts w:asciiTheme="majorBidi" w:eastAsiaTheme="majorEastAsia" w:hAnsiTheme="majorBid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ghtness">
    <w:name w:val="Table Tightness"/>
    <w:basedOn w:val="Normal"/>
    <w:link w:val="TableTightnessChar"/>
    <w:qFormat/>
    <w:pPr>
      <w:spacing w:after="0" w:line="240" w:lineRule="auto"/>
      <w:jc w:val="center"/>
    </w:pPr>
    <w:rPr>
      <w:rFonts w:asciiTheme="majorBidi" w:hAnsiTheme="majorBidi"/>
    </w:rPr>
  </w:style>
  <w:style w:type="character" w:customStyle="1" w:styleId="TableTightnessChar">
    <w:name w:val="Table Tightness Char"/>
    <w:basedOn w:val="DefaultParagraphFont"/>
    <w:link w:val="TableTightness"/>
    <w:rPr>
      <w:rFonts w:asciiTheme="majorBidi" w:hAnsiTheme="majorBidi"/>
      <w:sz w:val="24"/>
    </w:rPr>
  </w:style>
  <w:style w:type="paragraph" w:customStyle="1" w:styleId="AppendixHeading">
    <w:name w:val="Appendix Heading"/>
    <w:basedOn w:val="Heading2"/>
    <w:link w:val="AppendixHeadingChar"/>
    <w:qFormat/>
    <w:pPr>
      <w:numPr>
        <w:ilvl w:val="0"/>
        <w:numId w:val="0"/>
      </w:numPr>
      <w:ind w:left="380" w:hanging="380"/>
    </w:pPr>
  </w:style>
  <w:style w:type="character" w:customStyle="1" w:styleId="AppendixHeadingChar">
    <w:name w:val="Appendix Heading Char"/>
    <w:basedOn w:val="Heading2Char"/>
    <w:link w:val="AppendixHeading"/>
    <w:rPr>
      <w:rFonts w:asciiTheme="majorBidi" w:eastAsiaTheme="majorEastAsia" w:hAnsiTheme="majorBidi" w:cstheme="majorBidi"/>
      <w:b/>
      <w:bC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Bidi" w:eastAsiaTheme="majorEastAsia" w:hAnsiTheme="majorBidi" w:cstheme="majorBidi"/>
      <w:b/>
      <w:bCs/>
      <w:sz w:val="24"/>
      <w:szCs w:val="26"/>
    </w:rPr>
  </w:style>
  <w:style w:type="paragraph" w:customStyle="1" w:styleId="AppendixSubheading">
    <w:name w:val="Appendix Subheading"/>
    <w:basedOn w:val="Heading3"/>
    <w:link w:val="AppendixSubheadingChar"/>
    <w:qFormat/>
    <w:pPr>
      <w:numPr>
        <w:ilvl w:val="0"/>
        <w:numId w:val="0"/>
      </w:numPr>
      <w:spacing w:before="120" w:after="120"/>
      <w:ind w:left="227" w:hanging="227"/>
    </w:pPr>
  </w:style>
  <w:style w:type="character" w:customStyle="1" w:styleId="AppendixSubheadingChar">
    <w:name w:val="Appendix Subheading Char"/>
    <w:basedOn w:val="Heading3Char"/>
    <w:link w:val="AppendixSubheading"/>
    <w:rPr>
      <w:rFonts w:asciiTheme="majorBidi" w:eastAsiaTheme="majorEastAsia" w:hAnsiTheme="majorBidi" w:cstheme="majorBidi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Bidi" w:eastAsiaTheme="majorEastAsia" w:hAnsiTheme="majorBidi" w:cstheme="majorBidi"/>
      <w:b/>
      <w:bCs/>
      <w:sz w:val="24"/>
    </w:rPr>
  </w:style>
  <w:style w:type="paragraph" w:customStyle="1" w:styleId="PreDocHeading">
    <w:name w:val="Pre Doc Heading"/>
    <w:next w:val="Normal"/>
    <w:qFormat/>
    <w:pPr>
      <w:jc w:val="center"/>
    </w:pPr>
    <w:rPr>
      <w:rFonts w:asciiTheme="majorBidi" w:eastAsiaTheme="majorEastAsia" w:hAnsiTheme="majorBidi" w:cstheme="majorBidi"/>
      <w:b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Bidi" w:eastAsiaTheme="majorEastAsia" w:hAnsiTheme="majorBidi" w:cstheme="majorBidi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Bidi" w:eastAsiaTheme="majorEastAsia" w:hAnsiTheme="majorBidi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Bidi" w:eastAsiaTheme="majorEastAsia" w:hAnsiTheme="majorBidi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spacing w:before="120" w:after="120"/>
    </w:p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  <w:jc w:val="center"/>
    </w:pPr>
    <w:rPr>
      <w:rFonts w:asciiTheme="majorBidi" w:eastAsiaTheme="majorEastAsia" w:hAnsiTheme="majorBidi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Bidi" w:eastAsiaTheme="majorEastAsia" w:hAnsiTheme="majorBidi" w:cstheme="majorBidi"/>
      <w:b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pPr>
      <w:spacing w:after="240"/>
      <w:ind w:left="720"/>
      <w:contextualSpacing/>
      <w:jc w:val="both"/>
    </w:pPr>
    <w:rPr>
      <w:rFonts w:eastAsia="MS Mincho" w:cs="Times New Roman"/>
      <w:szCs w:val="24"/>
      <w:lang w:val="en-US" w:eastAsia="ja-JP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spacing w:before="480" w:after="0"/>
      <w:jc w:val="center"/>
      <w:outlineLvl w:val="0"/>
    </w:pPr>
    <w:rPr>
      <w:rFonts w:asciiTheme="majorBidi" w:eastAsiaTheme="majorEastAsia" w:hAnsiTheme="majorBid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2"/>
      </w:numPr>
      <w:spacing w:before="480" w:after="0"/>
      <w:jc w:val="both"/>
      <w:outlineLvl w:val="1"/>
    </w:pPr>
    <w:rPr>
      <w:rFonts w:asciiTheme="majorBidi" w:eastAsiaTheme="majorEastAsia" w:hAnsiTheme="majorBid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2"/>
      </w:numPr>
      <w:spacing w:before="60" w:after="0"/>
      <w:outlineLvl w:val="2"/>
    </w:pPr>
    <w:rPr>
      <w:rFonts w:asciiTheme="majorBidi" w:eastAsiaTheme="majorEastAsia" w:hAnsiTheme="majorBid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20" w:after="0"/>
      <w:jc w:val="both"/>
      <w:outlineLvl w:val="3"/>
    </w:pPr>
    <w:rPr>
      <w:rFonts w:asciiTheme="majorBidi" w:eastAsiaTheme="majorEastAsia" w:hAnsiTheme="majorBid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after="0"/>
      <w:jc w:val="both"/>
      <w:outlineLvl w:val="4"/>
    </w:pPr>
    <w:rPr>
      <w:rFonts w:asciiTheme="majorBidi" w:eastAsiaTheme="majorEastAsia" w:hAnsiTheme="majorBid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ghtness">
    <w:name w:val="Table Tightness"/>
    <w:basedOn w:val="Normal"/>
    <w:link w:val="TableTightnessChar"/>
    <w:qFormat/>
    <w:pPr>
      <w:spacing w:after="0" w:line="240" w:lineRule="auto"/>
      <w:jc w:val="center"/>
    </w:pPr>
    <w:rPr>
      <w:rFonts w:asciiTheme="majorBidi" w:hAnsiTheme="majorBidi"/>
    </w:rPr>
  </w:style>
  <w:style w:type="character" w:customStyle="1" w:styleId="TableTightnessChar">
    <w:name w:val="Table Tightness Char"/>
    <w:basedOn w:val="DefaultParagraphFont"/>
    <w:link w:val="TableTightness"/>
    <w:rPr>
      <w:rFonts w:asciiTheme="majorBidi" w:hAnsiTheme="majorBidi"/>
      <w:sz w:val="24"/>
    </w:rPr>
  </w:style>
  <w:style w:type="paragraph" w:customStyle="1" w:styleId="AppendixHeading">
    <w:name w:val="Appendix Heading"/>
    <w:basedOn w:val="Heading2"/>
    <w:link w:val="AppendixHeadingChar"/>
    <w:qFormat/>
    <w:pPr>
      <w:numPr>
        <w:ilvl w:val="0"/>
        <w:numId w:val="0"/>
      </w:numPr>
      <w:ind w:left="380" w:hanging="380"/>
    </w:pPr>
  </w:style>
  <w:style w:type="character" w:customStyle="1" w:styleId="AppendixHeadingChar">
    <w:name w:val="Appendix Heading Char"/>
    <w:basedOn w:val="Heading2Char"/>
    <w:link w:val="AppendixHeading"/>
    <w:rPr>
      <w:rFonts w:asciiTheme="majorBidi" w:eastAsiaTheme="majorEastAsia" w:hAnsiTheme="majorBidi" w:cstheme="majorBidi"/>
      <w:b/>
      <w:bC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Bidi" w:eastAsiaTheme="majorEastAsia" w:hAnsiTheme="majorBidi" w:cstheme="majorBidi"/>
      <w:b/>
      <w:bCs/>
      <w:sz w:val="24"/>
      <w:szCs w:val="26"/>
    </w:rPr>
  </w:style>
  <w:style w:type="paragraph" w:customStyle="1" w:styleId="AppendixSubheading">
    <w:name w:val="Appendix Subheading"/>
    <w:basedOn w:val="Heading3"/>
    <w:link w:val="AppendixSubheadingChar"/>
    <w:qFormat/>
    <w:pPr>
      <w:numPr>
        <w:ilvl w:val="0"/>
        <w:numId w:val="0"/>
      </w:numPr>
      <w:spacing w:before="120" w:after="120"/>
      <w:ind w:left="227" w:hanging="227"/>
    </w:pPr>
  </w:style>
  <w:style w:type="character" w:customStyle="1" w:styleId="AppendixSubheadingChar">
    <w:name w:val="Appendix Subheading Char"/>
    <w:basedOn w:val="Heading3Char"/>
    <w:link w:val="AppendixSubheading"/>
    <w:rPr>
      <w:rFonts w:asciiTheme="majorBidi" w:eastAsiaTheme="majorEastAsia" w:hAnsiTheme="majorBidi" w:cstheme="majorBidi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Bidi" w:eastAsiaTheme="majorEastAsia" w:hAnsiTheme="majorBidi" w:cstheme="majorBidi"/>
      <w:b/>
      <w:bCs/>
      <w:sz w:val="24"/>
    </w:rPr>
  </w:style>
  <w:style w:type="paragraph" w:customStyle="1" w:styleId="PreDocHeading">
    <w:name w:val="Pre Doc Heading"/>
    <w:next w:val="Normal"/>
    <w:qFormat/>
    <w:pPr>
      <w:jc w:val="center"/>
    </w:pPr>
    <w:rPr>
      <w:rFonts w:asciiTheme="majorBidi" w:eastAsiaTheme="majorEastAsia" w:hAnsiTheme="majorBidi" w:cstheme="majorBidi"/>
      <w:b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Bidi" w:eastAsiaTheme="majorEastAsia" w:hAnsiTheme="majorBidi" w:cstheme="majorBidi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Bidi" w:eastAsiaTheme="majorEastAsia" w:hAnsiTheme="majorBidi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Bidi" w:eastAsiaTheme="majorEastAsia" w:hAnsiTheme="majorBidi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spacing w:before="120" w:after="120"/>
    </w:p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  <w:jc w:val="center"/>
    </w:pPr>
    <w:rPr>
      <w:rFonts w:asciiTheme="majorBidi" w:eastAsiaTheme="majorEastAsia" w:hAnsiTheme="majorBidi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Bidi" w:eastAsiaTheme="majorEastAsia" w:hAnsiTheme="majorBidi" w:cstheme="majorBidi"/>
      <w:b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pPr>
      <w:spacing w:after="240"/>
      <w:ind w:left="720"/>
      <w:contextualSpacing/>
      <w:jc w:val="both"/>
    </w:pPr>
    <w:rPr>
      <w:rFonts w:eastAsia="MS Mincho" w:cs="Times New Roman"/>
      <w:szCs w:val="24"/>
      <w:lang w:val="en-US" w:eastAsia="ja-JP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1389</Characters>
  <Application>Microsoft Macintosh Word</Application>
  <DocSecurity>4</DocSecurity>
  <Lines>18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Ingram</dc:creator>
  <cp:lastModifiedBy>Ioannis Nikolaou</cp:lastModifiedBy>
  <cp:revision>2</cp:revision>
  <cp:lastPrinted>2015-09-21T22:03:00Z</cp:lastPrinted>
  <dcterms:created xsi:type="dcterms:W3CDTF">2015-09-21T22:03:00Z</dcterms:created>
  <dcterms:modified xsi:type="dcterms:W3CDTF">2015-09-21T22:03:00Z</dcterms:modified>
</cp:coreProperties>
</file>